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1" w:rsidRPr="008B328C" w:rsidRDefault="00901661" w:rsidP="00272F51">
      <w:pPr>
        <w:tabs>
          <w:tab w:val="left" w:pos="3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272F51" w:rsidRPr="008B328C">
        <w:rPr>
          <w:rFonts w:ascii="Times New Roman" w:hAnsi="Times New Roman" w:cs="Times New Roman"/>
          <w:sz w:val="24"/>
          <w:szCs w:val="24"/>
        </w:rPr>
        <w:t xml:space="preserve">     </w:t>
      </w:r>
      <w:r w:rsidR="00272F51" w:rsidRPr="008B32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51" w:rsidRPr="008B328C" w:rsidRDefault="00272F51" w:rsidP="0027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B328C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272F51" w:rsidRPr="008B328C" w:rsidRDefault="00272F51" w:rsidP="0027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8C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272F51" w:rsidRPr="008B328C" w:rsidRDefault="00272F51" w:rsidP="0027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8C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272F51" w:rsidRPr="008B328C" w:rsidRDefault="00272F51" w:rsidP="0027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8C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272F51" w:rsidRPr="008B328C" w:rsidRDefault="00272F51" w:rsidP="00272F51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F51" w:rsidRPr="008B328C" w:rsidRDefault="00272F51" w:rsidP="00272F51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2F51" w:rsidRPr="008B328C" w:rsidRDefault="00272F51" w:rsidP="00272F51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F51" w:rsidRPr="008B328C" w:rsidRDefault="00272F51" w:rsidP="00272F5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07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марта  2017 </w:t>
      </w:r>
      <w:r w:rsidRPr="008B328C">
        <w:rPr>
          <w:rFonts w:ascii="Times New Roman" w:hAnsi="Times New Roman" w:cs="Times New Roman"/>
          <w:b/>
          <w:sz w:val="24"/>
          <w:szCs w:val="24"/>
          <w:u w:val="single"/>
        </w:rPr>
        <w:t>г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96</w:t>
      </w:r>
    </w:p>
    <w:p w:rsidR="00272F51" w:rsidRPr="008B328C" w:rsidRDefault="00272F51" w:rsidP="00272F5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B328C">
        <w:rPr>
          <w:rFonts w:ascii="Times New Roman" w:hAnsi="Times New Roman" w:cs="Times New Roman"/>
          <w:b/>
          <w:sz w:val="24"/>
          <w:szCs w:val="24"/>
        </w:rPr>
        <w:t xml:space="preserve"> -очередная сессия 3-го созыва</w:t>
      </w:r>
    </w:p>
    <w:p w:rsidR="00272F51" w:rsidRPr="008B328C" w:rsidRDefault="00272F51" w:rsidP="00272F5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72F51" w:rsidRPr="008B328C" w:rsidTr="0000460D">
        <w:tc>
          <w:tcPr>
            <w:tcW w:w="3652" w:type="dxa"/>
          </w:tcPr>
          <w:p w:rsidR="00272F51" w:rsidRDefault="00272F51" w:rsidP="00272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C">
              <w:rPr>
                <w:rFonts w:ascii="Times New Roman" w:hAnsi="Times New Roman" w:cs="Times New Roman"/>
                <w:sz w:val="24"/>
                <w:szCs w:val="24"/>
              </w:rPr>
              <w:t xml:space="preserve">«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Крутогоровского сельского поселения </w:t>
            </w:r>
          </w:p>
          <w:p w:rsidR="00272F51" w:rsidRPr="008B328C" w:rsidRDefault="00272F51" w:rsidP="000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Pr="008B328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272F51" w:rsidRPr="008B328C" w:rsidRDefault="00272F51" w:rsidP="0000460D">
            <w:pPr>
              <w:tabs>
                <w:tab w:val="left" w:pos="3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272F51" w:rsidRPr="008B328C" w:rsidRDefault="00272F51" w:rsidP="0000460D">
            <w:pPr>
              <w:tabs>
                <w:tab w:val="left" w:pos="3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F51" w:rsidRPr="008B328C" w:rsidRDefault="00901661" w:rsidP="00272F51">
      <w:pPr>
        <w:pStyle w:val="a5"/>
        <w:jc w:val="both"/>
      </w:pPr>
      <w:r>
        <w:t xml:space="preserve">       </w:t>
      </w:r>
      <w:r w:rsidR="00272F51" w:rsidRPr="008B328C">
        <w:t xml:space="preserve">Заслушав и обсудив отчет </w:t>
      </w:r>
      <w:r w:rsidR="00272F51">
        <w:t>Главы администрации о проделанной работе за 2016</w:t>
      </w:r>
      <w:r w:rsidR="00272F51" w:rsidRPr="008B328C">
        <w:t xml:space="preserve"> год, Собрание депутатов Крутогоровского сельского поселения </w:t>
      </w:r>
    </w:p>
    <w:p w:rsidR="00272F51" w:rsidRPr="008B328C" w:rsidRDefault="00272F51" w:rsidP="00272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8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72F51" w:rsidRPr="008B328C" w:rsidRDefault="00272F51" w:rsidP="00272F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51" w:rsidRPr="008B328C" w:rsidRDefault="00272F51" w:rsidP="00272F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8C">
        <w:rPr>
          <w:rFonts w:ascii="Times New Roman" w:hAnsi="Times New Roman" w:cs="Times New Roman"/>
          <w:sz w:val="24"/>
          <w:szCs w:val="24"/>
        </w:rPr>
        <w:t xml:space="preserve"> Принять и утвердить отчет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Крутогоровского сельского поселения </w:t>
      </w:r>
      <w:r w:rsidRPr="008B328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8B328C">
        <w:rPr>
          <w:rFonts w:ascii="Times New Roman" w:hAnsi="Times New Roman" w:cs="Times New Roman"/>
          <w:sz w:val="24"/>
          <w:szCs w:val="24"/>
        </w:rPr>
        <w:t xml:space="preserve"> год, согласно приложениям.</w:t>
      </w:r>
    </w:p>
    <w:p w:rsidR="00272F51" w:rsidRPr="008B328C" w:rsidRDefault="00272F51" w:rsidP="00272F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28C">
        <w:rPr>
          <w:rFonts w:ascii="Times New Roman" w:hAnsi="Times New Roman" w:cs="Times New Roman"/>
          <w:sz w:val="24"/>
          <w:szCs w:val="24"/>
        </w:rPr>
        <w:t>Направить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</w:t>
      </w:r>
      <w:r w:rsidRPr="008B328C">
        <w:rPr>
          <w:rFonts w:ascii="Times New Roman" w:hAnsi="Times New Roman" w:cs="Times New Roman"/>
          <w:sz w:val="24"/>
          <w:szCs w:val="24"/>
        </w:rPr>
        <w:t>.</w:t>
      </w:r>
    </w:p>
    <w:p w:rsidR="00272F51" w:rsidRPr="008B328C" w:rsidRDefault="00272F51" w:rsidP="00272F51">
      <w:pPr>
        <w:tabs>
          <w:tab w:val="left" w:pos="3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8C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272F51" w:rsidRPr="008B328C" w:rsidRDefault="00272F51" w:rsidP="00272F51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8C">
        <w:rPr>
          <w:rFonts w:ascii="Times New Roman" w:hAnsi="Times New Roman" w:cs="Times New Roman"/>
          <w:sz w:val="24"/>
          <w:szCs w:val="24"/>
        </w:rPr>
        <w:t>Крутогоровского сельского поселения                             Г.Н. Овчаренко</w:t>
      </w:r>
    </w:p>
    <w:p w:rsidR="00272F51" w:rsidRPr="008B328C" w:rsidRDefault="00272F51" w:rsidP="00272F51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51" w:rsidRPr="008B328C" w:rsidRDefault="00272F51" w:rsidP="00272F51">
      <w:pPr>
        <w:rPr>
          <w:rFonts w:ascii="Times New Roman" w:hAnsi="Times New Roman" w:cs="Times New Roman"/>
          <w:sz w:val="24"/>
          <w:szCs w:val="24"/>
        </w:rPr>
      </w:pPr>
    </w:p>
    <w:p w:rsidR="00272F51" w:rsidRDefault="00272F51" w:rsidP="0027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661" w:rsidRDefault="00901661" w:rsidP="0027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661" w:rsidRDefault="00901661" w:rsidP="0027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661" w:rsidRDefault="00901661" w:rsidP="0027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F51" w:rsidRDefault="00272F51" w:rsidP="00272F51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F51" w:rsidRDefault="00272F51" w:rsidP="00272F51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72F51" w:rsidRPr="00272F51" w:rsidTr="00272F51">
        <w:tc>
          <w:tcPr>
            <w:tcW w:w="6204" w:type="dxa"/>
          </w:tcPr>
          <w:p w:rsidR="00272F51" w:rsidRPr="00272F51" w:rsidRDefault="00272F51" w:rsidP="00272F51">
            <w:pPr>
              <w:spacing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272F51" w:rsidRPr="00272F51" w:rsidRDefault="00272F51" w:rsidP="00272F51">
            <w:pPr>
              <w:spacing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к решению №  96 от _____2017 </w:t>
            </w:r>
          </w:p>
        </w:tc>
      </w:tr>
    </w:tbl>
    <w:p w:rsidR="00272F51" w:rsidRDefault="00272F51" w:rsidP="00272F51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F51" w:rsidRDefault="00272F51" w:rsidP="00272F51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355" w:rsidRPr="00272F51" w:rsidRDefault="006F5355" w:rsidP="00272F51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72F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ОТЧЕТ ГЛАВЫ АДМИНИСТРАЦИИ </w:t>
      </w:r>
      <w:r w:rsidR="00C03BB0" w:rsidRPr="00272F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КРУТОГОРО</w:t>
      </w:r>
      <w:r w:rsidRPr="00272F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ВСКОГО СЕЛЬСКОГО ПОСЕЛЕНИЯ ЗА 2016 ГОД</w:t>
      </w:r>
    </w:p>
    <w:p w:rsidR="005420CE" w:rsidRPr="00272F51" w:rsidRDefault="00FC15E4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C15E4">
        <w:rPr>
          <w:rFonts w:ascii="Times New Roman" w:hAnsi="Times New Roman" w:cs="Times New Roman"/>
          <w:sz w:val="24"/>
          <w:szCs w:val="24"/>
        </w:rPr>
        <w:fldChar w:fldCharType="begin"/>
      </w:r>
      <w:r w:rsidR="00206F68" w:rsidRPr="00272F51">
        <w:rPr>
          <w:rFonts w:ascii="Times New Roman" w:hAnsi="Times New Roman" w:cs="Times New Roman"/>
          <w:sz w:val="24"/>
          <w:szCs w:val="24"/>
        </w:rPr>
        <w:instrText xml:space="preserve"> HYPERLINK </w:instrText>
      </w:r>
      <w:r w:rsidRPr="00FC15E4">
        <w:rPr>
          <w:rFonts w:ascii="Times New Roman" w:hAnsi="Times New Roman" w:cs="Times New Roman"/>
          <w:sz w:val="24"/>
          <w:szCs w:val="24"/>
        </w:rPr>
        <w:fldChar w:fldCharType="separate"/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Отчет Главы </w:t>
      </w:r>
      <w:r w:rsidR="00C03BB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Крутогоровского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сельского поселения о работе администрации за 2016 год Уважаемые депутаты </w:t>
      </w:r>
      <w:r w:rsidR="00C03BB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Крутогоровского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сельского поселения, приглашенные, односельчане! Завершился ещё один год работы в рамках реализации 131-ФЗ «Об общих принципах организации местного самоуправления в Российской Федерации.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</w:t>
      </w:r>
      <w:r w:rsidR="00C03BB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Крутогоровского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сельского поселения в прошедшем году. Предлагаемый вашему вниманию отчёт основан на показателях оценки эффективности деятельности органов местного самоуправления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C03BB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Крутогоровского</w:t>
      </w:r>
      <w:r w:rsidR="00AA26A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сельского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поселения </w:t>
      </w:r>
      <w:r w:rsidR="00C03BB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Соболевского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муниципального района, достигнутых в 2016 году. И перед тем, как начать отчет, мне бы хотелось выразить слова искренней благодарности всем тем, кто оказывал и продолжает оказывать помощь сельской администрации в решении различных вопросов. Площадь поселения составляет –</w:t>
      </w:r>
      <w:r w:rsidR="00203FD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260 гектар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 территории поселения работает </w:t>
      </w:r>
      <w:r w:rsidR="00203FD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Крутогоровская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E336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школа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в которой обучаются наши дети в количестве - </w:t>
      </w:r>
      <w:r w:rsidR="00203FD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24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ученика.. Работает детский сад, который посещают - </w:t>
      </w:r>
      <w:r w:rsidR="00203FD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8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детей. Имеется </w:t>
      </w:r>
      <w:r w:rsidR="005E336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больница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Работает почта</w:t>
      </w:r>
      <w:r w:rsidR="00192F8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78299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Пожарная</w:t>
      </w:r>
      <w:r w:rsidR="00192F8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часть.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Приоритетом в работе Администрации поселения была и остается – забота о благосостоянии жителей, которых сегодня 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 Крутогоровском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сельском поселении проживает – </w:t>
      </w:r>
      <w:r w:rsidR="00203FD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73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ч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еловека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За 2016 год на территории поселения родилс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я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ребен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к, умерло – 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человек. Численность населения старше трудоспособного возраста составляет 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78</w:t>
      </w:r>
      <w:r w:rsidR="0091483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человек,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Численность детей до 18 лет (включительно) - 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42</w:t>
      </w:r>
      <w:r w:rsidR="0091483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человека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Численность населения в трудоспособном возрасте - </w:t>
      </w:r>
      <w:r w:rsidR="005D594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253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человека; Численность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безработных, официально зарегистрированных в ЦЗН – 14</w:t>
      </w:r>
      <w:r w:rsidR="0091483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Основные направления деятельности Администрации в прошедшем году строились в соответствии с Уставом поселения, а также главным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Это все определяет в дальнейшем совместную программу действий Администрации и </w:t>
      </w:r>
      <w:r w:rsidR="00D44A64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Собрания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депутатов</w:t>
      </w:r>
      <w:r w:rsidR="0091483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Крутогоровского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сельского поселения.. В своей работе мы стремился к тому, чтобы ни одно обращение не осталось без внимания. Все заявления и обращения граждан были рассмотрены своевременно и по всем даны ответы и разъяснения. Главой сельского поселения было принято граждан на личном приеме 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31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человек. Основными вопросами, волнующими граждан, были: земельные </w:t>
      </w:r>
      <w:r w:rsidR="002940C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вопросы, вылет и выезд граждан в районный центр и краевой,  </w:t>
      </w:r>
      <w:r w:rsidR="00192F8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лимиты на вылов рыбы</w:t>
      </w:r>
      <w:r w:rsidR="0076021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электроснабжение,</w:t>
      </w:r>
      <w:r w:rsidR="002940C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ритуальные услуги, доставка почты</w:t>
      </w:r>
      <w:r w:rsidR="00782999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водоснабжение, обследование жилья, оформление земельных участков в </w:t>
      </w:r>
      <w:r w:rsidR="0076021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аренду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др. П</w:t>
      </w:r>
      <w:r w:rsidR="0076021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роводилась работа по оформлению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приватизации жилья. Приватизировано в 2016 г 4 квартиры, </w:t>
      </w:r>
      <w:r w:rsidR="0076021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аренда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земельн</w:t>
      </w:r>
      <w:r w:rsidR="0076021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ого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участк</w:t>
      </w:r>
      <w:r w:rsidR="0076021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оформили </w:t>
      </w:r>
      <w:r w:rsidR="00C421C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человек. За истекший год в адми</w:t>
      </w:r>
      <w:r w:rsidR="0053426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нистрацию за получением справок, выписок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характеристик</w:t>
      </w:r>
      <w:r w:rsidR="00165622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обратилось порядка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123</w:t>
      </w:r>
      <w:r w:rsidR="00165622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за нотариальными действиями -1</w:t>
      </w:r>
      <w:r w:rsidR="00C421C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97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человек. В 2016 году в администрацию из всех уровней поступило 367 документа и большая их часть для исполнения и ответа. Специалистами подготовлены и направлены ответы на исполнительные документы в письменном виде и по электронной почте. За прошедший период издано 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63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постановления и 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144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 xml:space="preserve">распоряжения Администрации по вопросам местного значения, В 2016 году было проведено 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8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заседани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й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Со</w:t>
      </w:r>
      <w:r w:rsidR="00C421C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брания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депутатов </w:t>
      </w:r>
      <w:r w:rsidR="00C421C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Крутогоровского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сельского поселения, было рассмотрено и принято 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42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решени</w:t>
      </w:r>
      <w:r w:rsidR="00792BD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я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Среди них наиболее значимые: Это 1. Исполнение бюджета муниципального образования за 2015 год и поквартальное исполнение 2016 года. 2. В связи с изменением федерального законодательства вносились изменения в действующие нормативно- правовые акты. 3. Принимались решения по утверждению различных положений и правил необходимых для деятельности администрации поселения. 4.Об утверждении налоговых ставок. 5. Рассматривался и утверждался бюджет на 2017 год и др. Администрацией сельского поселения обеспечивалась законотворческая деятельность Со</w:t>
      </w:r>
      <w:r w:rsidR="00C421C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брания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депутатов и администрации </w:t>
      </w:r>
      <w:r w:rsidR="0001759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вского сельского поселения. За отчетный период специалистами администрации были подготовлены, вынесены на рассмотрение и утверждены </w:t>
      </w:r>
      <w:r w:rsidR="00792BD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административных регламентов администрации </w:t>
      </w:r>
      <w:r w:rsidR="0001759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Крутогоровского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сельского поселения по предоставлению муниципальных у</w:t>
      </w:r>
      <w:r w:rsidR="0001759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слуг: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Администрация </w:t>
      </w:r>
      <w:r w:rsidR="0001759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Крутогоровского сельского 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поселения принимала участие в выборах народных депутатов в Государственную думу. Администрацией поселения ведется исполнение отдельных государственных полномочий в части воинского учета. На воинском учете в </w:t>
      </w:r>
      <w:r w:rsidR="0001759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Крутогоровском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сельском поселении состоит </w:t>
      </w:r>
      <w:r w:rsidR="0053426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64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человек. Реализация полномочий органов местного самоуправления в области Экономики и финансов осуществляется в со</w:t>
      </w:r>
      <w:r w:rsidR="0001759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ответствии с Бюджетным кодексом</w:t>
      </w:r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Положением о </w:t>
      </w:r>
      <w:bookmarkStart w:id="0" w:name="_GoBack"/>
      <w:bookmarkEnd w:id="0"/>
      <w:r w:rsidR="006F5355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Бюджетном процессе, О порядке расходования резервного фонда, Положением о муниципальной казне, и конечно же о местном бюджете.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420C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Исполнение бюджета осуществлялось на основе Решения Собрания депутатов Крутогоровского сельского поселения от 24,12,2015 г .№ 30 «</w:t>
      </w:r>
      <w:r w:rsidR="005420CE" w:rsidRPr="00272F5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О бюджете Крутогоровского сельского поселения Соболевского района на 2016 год</w:t>
      </w:r>
      <w:r w:rsidR="005420C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Исполнение бюджета за 2016 года составило: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- по доходам в сумме 22967,726 </w:t>
      </w:r>
      <w:r w:rsidRPr="00272F51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тыс. рублей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или  99,10  процентов к годовому плану доходов  (23175,911  тыс. руб годовой план)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по  расходам в сумме 21937,917</w:t>
      </w:r>
      <w:r w:rsidRPr="00272F51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тыс. рублей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или 88,47</w:t>
      </w:r>
      <w:r w:rsidRPr="00272F51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процентов к плану года по расходам ( 24795,478- годовой план)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ДОХОДНАЯ ЧАСТЬ БЮДЖЕТА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Налоговые и неналоговые доходы (собственные доходы поселения)  бюджета </w:t>
      </w:r>
      <w:r w:rsidRPr="00272F5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Крутогоровского сельского поселения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исполнены в сумме 3556,847 </w:t>
      </w:r>
      <w:r w:rsidRPr="00272F51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тыс. рублей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или 99,98 процентов к годовым плановым назначениям (3552,460 -план года). Наибольший удельный вес в их структуре занимает арендная плата за задачу имущества в аренду , его исполнение за 2016 год составляет  1416,053 тыс. рублей или 100,0 процентов к годовому плану по   аренде на имущество.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Также в бюджет поселения поступили следующие доходы: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Налог на доходы физических лиц- 720,906 тыс. руб. ( 99,9 % к годовому плану)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- Единый сельскохозяйственный налог- 570,210 тыс.руб. 100 % к годовому плану) 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Государственная пошлина- 13,5 тыс. руб. (более 100 % к годовому плану) 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Акцизы по подакцизным товарам (продукции), производимым на территории РФ– 492,045 .руб. (100 % к годовому плану, годовой план 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Земельный налог – 325,632 тыс. рублей ( более 100 %  к годовому плану)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- Штрафы, поступившие в бюджет поселения- 18,5 тыс.руб. (более 100 % к годовому плану)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Безвозмездные поступления (средства областного и федерального бюджетов):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 xml:space="preserve">             Безвозмездные поступления от других бюджетов бюджетной системы Российской Федерации за  2016 года поступили  в сумме 19410,879. рублей ( 98,9 % от годового плана), годовой план – 19623,451 тыс.рублей), в том числе: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Субвенция на осуществление первичного воинского учета   –  135,5 тыс.руб. (100% к годовому плану).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Субвенция на осуществление  работы административных комиссий–  20,500 тыс.руб. (100% к годовому плану).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Дотация  на выравнивание уровня бюджетной обеспеченности -    7535,000 тыс.руб. (100,0% к годовому плану)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Дотация  на выравнивание сбалансированности   уровня бюджетной обеспеченности -    5150,549  тыс.руб. (100,0% к годовому плану)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Иные межбюджетные трансферты исполнены в 2016 году в сумме 4258,330 т.р. (  95,85 % к годовому плану, годовой план- 4442,572 тыс.руб.) – это средства из районного бюджета, на повышение заработной платы работников культуры, а так же по муниципальным программам Соболевского муниципального района :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 « Энергосбережение и повышение энергоэффективности в Соболевском муниципальном районе Камчатского края»,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   «Физическая культура , спорт, молодежная политика, отдых и оздоровление детей в Соболевском муниципальном района на 2014 - 2018 гг"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   "Развитие культуры в Соболевском муниципальном районе Камчатского края на 2014-2018 годы»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Поступившие доходы израсходованы на исполнение принятых расходных обязательств поселения и переданных полномочий РФ.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901661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РАСХОДЫ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Расходы бюджета Крутогоровского сельского поселения за 2016 год   составили - 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21937,918 тыс. рублей  при плановых показателях  24795,478  тыс. рублей  ( 88,47 % от плановых показателей). Расходование средств производились в соответствии со сводной бюджетной росписью и утвержденными  планами мероприятий и сметами на  финансовый год. Исполнение расходной части бюджета поселения  в 2016 году по разделам и подраздела, целевым статьям, видам расходов осуществлялась следующим образом: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- Общегосударственные вопросы– 7356,449  тыс. руб. ( 98,9 % к годовому плану)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Расходы на содержание органов местного самоуправления, в том числе: заработная плата, 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взносов в том числе уплата транспортного и земельного налога, обслуживание информационных систем администрации, подписка на печатные издания, оценка муниципального имущества, признание прав и регулирование отношений по муниципальной собственности, расходы, связанные с соблюдением норм пожарной безопасности в здании Администрации.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- Другие общегосударственные  расходы – 3267,268 тыс. рублей ( 99,9 % к годовому плану)       Расходы на содержание прочих общегосударственных </w:t>
      </w:r>
      <w:r w:rsidR="00792BD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вопросов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включающих в себя  оплату  спутниковой  Интернет  связи ,  заработная плата работников бухгалтерии и прочего персонала, расходы на содержание административной комиссии,  оплату услуг по подготовке , объявлению и проведению  электронных аукционов, подготовку и размещение  материалов по передаче  муниципального имущества по договору Концессии в аренду.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Национальная оборона- 100,791 тыс. руб. (100,0% к годовому плану)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 данный раздел входят расходы на содержание специалиста по воинскому учету за счет федеральных средств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 xml:space="preserve">- Дорожное хозяйство 893,105  тыс.руб. (  94,6 % к годовому плану) Данный средства потрачены на грейдирование и восстановление дорожного полота, приобретение запасных частей для   </w:t>
      </w:r>
      <w:r w:rsidR="00272F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комплектации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автодорожной техники, приобретение  ГСМ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 Жилищно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хозяйство-  6157,309 тыс. руб. (74,3 % к годовому плану) 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                         «Благоустройство территории»   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-   Оплата  стоимости  уличного  освещения,   закупка  , доставка и установка  уличных  скамеек и уран,  закупка светильников уличного освещения – 893,105 тыс. рублей)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                         Жилищно- коммунальное хозяйство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- Содержание и ремонт  муниципального   имущества ( оплата коммунальных  услуг в  муниципальном жилье, закупка  строительных материалов для ремонта муниципального жилья,  текущий ремонт  внутренней системы  отопления  и хвс по заявлениям граждан , оплата  части средств местного бюджета  на условиях софинансирования по государственной программе Камчатского края 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годы» )- 2845,019 тыс руб.  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-  Произведена оплата   работ  выполненных  Фондом  капитального ремонта многоквартирных домов Камчатского края   в 2015 году, по  договору № 204/2015 от 08,09,2015 за выполнение работ по капитальному ремонту фасада, многоквартирного дома , расположенного по адресу: п. Крутогоровский , ул.Набарежная д,5  - 579,600 тыс.руб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- Произведена оплата  работ оплата  части средств краевого  бюджета    по   государственной программе Камчатского края 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годы» в сумме – 2319,000 тыс. рублей  на выполнение  следующих работ :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 Проведение технического учета и инвентаризации объектов топливно-энергетического и жилищно-коммунального комплекса в </w:t>
      </w:r>
      <w:r w:rsidR="00272F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п. Крутогоровский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 канализационные сети  ул. Сахалинская 50</w:t>
      </w:r>
      <w:r w:rsidR="003441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,51,52,36,38,36,42,54,Набережня 5,8 Заводская 15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Проведение мероприятий по установке коллективных (общедомовых) приборов учета в многоквартирных домах в Камчатском крае,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 Образование -  Молодежная политика и оздоровление детей-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Расходы  направлены   на реализацию мероприятий  по муниципальной программе Соболевского муниципального района « Организация  отдыха и  оздоровления детей и молодежи в Соболевском муниципальном районе»  мероприятия  по организации трудовой деятельности несовершеннолетних в летний период – 49,00 тыс. руб</w:t>
      </w:r>
      <w:r w:rsidR="00792BD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Культура, кинематография-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этом направлении бюджетные средства идут на содержание Крутогоровского сельского Дома культуры, Крутогоровский  сельской библиотеки, в том числе: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Крутогоровский   Центр досуга п. Крутогоровский – 2854,272 тыс..рублей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- Расходы произведены на выплату заработной платы работникам культуры, оплату коммунальных платежей, оплату пожарной сигнализации,  приобретение материальных запасов, проведение мероприятий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Крутогоровский  -  Библиотека п. Крутогоровский  - 1059,938 тыс. рублей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 Расходы произведены на выплату заработной платы  , оплату коммунальных платежей, оплату пожарной сигнализации,  приобретение материальных запасов, проведение мероприятий</w:t>
      </w:r>
    </w:p>
    <w:p w:rsidR="005420CE" w:rsidRPr="00272F51" w:rsidRDefault="005420CE" w:rsidP="005420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              -Социальная политика   -Пенсионное обеспечение-</w:t>
      </w:r>
    </w:p>
    <w:p w:rsidR="00206F68" w:rsidRPr="00272F51" w:rsidRDefault="005420CE" w:rsidP="006F5355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 xml:space="preserve"> Расходы произведены   в сумме  -159,878 тыс. руб(  выплата ежемесячной доплаты  к трудовой пенсии и пенсии за выслугу лет лицам замещавшим муниципальные должности) </w:t>
      </w:r>
    </w:p>
    <w:p w:rsidR="00206F68" w:rsidRPr="00272F51" w:rsidRDefault="006F5355" w:rsidP="006F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Анализируя показатели эффективности развития </w:t>
      </w:r>
      <w:r w:rsidR="0053426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Крутогоровского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сель</w:t>
      </w:r>
      <w:r w:rsidR="00921864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ского поселения следует сказать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что в соответствии с утвержденным бюджетом его БЛАГОУСТРОЙСТВО В этом году, как и каждый год большое внимание уделялось вопросам благоустройст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ва территории поселения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Любовь к родным местам, забота о людях, готовность созидать на благо поселения – принципиальная позиция администрации поселения. Администрацией поселения в этом направлени</w:t>
      </w:r>
      <w:r w:rsidR="008D0C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 проделана следующая работа: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Чисто не там где не убирают, а там где не мусорят. С таким обращением мы обратились ко всем жителям нашего </w:t>
      </w:r>
      <w:r w:rsidR="00EF1BF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поселения,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оно дало первые положительные результаты. Улицы стали намного чище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территории дворов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краше. Первые шаги в этом направлении были трудные.. Первые мои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помощники это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инициативные жители поселк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С их помощью я надеюсь, мы переломили стереотип, что за забором не мое и нас это не касается. На территории поселения проводили субботники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Участие принимал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 все сознательное население. На территории 10</w:t>
      </w:r>
      <w:r w:rsidR="00921864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ти</w:t>
      </w:r>
      <w:r w:rsidR="008D0C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жилых</w:t>
      </w:r>
      <w:r w:rsidR="002C138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домов установлены красивые скамейки</w:t>
      </w:r>
      <w:r w:rsidR="008D0C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для отдыха и урны для мусора Жители </w:t>
      </w:r>
      <w:r w:rsidR="00A1708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четырех</w:t>
      </w:r>
      <w:r w:rsidR="008D0C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домов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высадили </w:t>
      </w:r>
      <w:r w:rsidR="00165622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многолетние </w:t>
      </w:r>
      <w:r w:rsidR="00EF1BF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цветы (</w:t>
      </w:r>
      <w:r w:rsidR="008D0C5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ирисы,</w:t>
      </w:r>
      <w:r w:rsidR="00165622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нарциссы</w:t>
      </w:r>
      <w:r w:rsidR="00EF1BF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тюльпаны</w:t>
      </w:r>
      <w:r w:rsidR="00EF1BF0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В весенне-летний период были неоднократные возгорания, причиной которых являлось безнадзорное сжигание мусора и сухой травы жителями поселения. Для борьбы с пожарами постоянно в исправном состоянии содержатся 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гайки роты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другие приспособления для забора воды. 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 Социальная сфера</w:t>
      </w:r>
      <w:r w:rsidR="00165622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своей работе мы всегда уделяем особое внимание пожилым людям. Традиционно проводятся мероприятия ко всем памятным датам, поздр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авляем наших уважаемых юбиляров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На территории поселения одиноких пенсионеров обслужива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ет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социальны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й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работник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агрузка 1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человек. Если </w:t>
      </w:r>
      <w:r w:rsidR="007E1B1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есть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желающие всем будет предоставлен соцработник для его обслуживания</w:t>
      </w:r>
      <w:r w:rsidR="00A1708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Все усилия мы вкладываем в подрастающее поколение. Культура </w:t>
      </w:r>
      <w:r w:rsidR="00A1708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сновная работа с детьми до 18 лет </w:t>
      </w:r>
      <w:r w:rsidR="00165622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проводится,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конечно же в школе поселения. Школьники является активными участниками практически всех мероприятий проводимых на нашей территории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День Победы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День знаний и множество других мероприятий организованы с боль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шой душой и </w:t>
      </w:r>
      <w:r w:rsidR="005F6D4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теплотой. Работниками</w:t>
      </w:r>
      <w:r w:rsid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F6D4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олодежн</w:t>
      </w:r>
      <w:r w:rsidR="005F6D4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ого</w:t>
      </w:r>
      <w:r w:rsidR="00A3317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центр</w:t>
      </w:r>
      <w:r w:rsidR="005F6D4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было проведено </w:t>
      </w:r>
      <w:r w:rsidR="005F6D4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16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мероприятий</w:t>
      </w:r>
      <w:r w:rsidR="005F6D4D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• день Победы, • де</w:t>
      </w:r>
      <w:r w:rsidR="00A1708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нь защиты детей,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• Новогодние утренники, </w:t>
      </w:r>
      <w:r w:rsidR="00F87D0B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балы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Работники культуры принимают активное участие в экологических субботниках, очищали прилегающ</w:t>
      </w:r>
      <w:r w:rsidR="00A1708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ие </w:t>
      </w:r>
      <w:r w:rsidR="007B4567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территорий</w:t>
      </w:r>
      <w:r w:rsidR="00A17081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двух детских площадок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от мусора и веток. </w:t>
      </w:r>
      <w:r w:rsidR="007B4567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ероприятия «Широкая масленица» - проводы зимы Я, не буду зачитывать план работы на 2017 год, он у нас есть на нашем сайте и на доске объявлений и вы можете, с ним там ознакомится. Задачи, которые стоят перед администрацией поселения на 2017 год, сложные: • необходимо сделать все, для максимального привлечения доходов в бюджет поселения; • задействовать все ресурсы и возможности учреждений, чтобы увеличить число оказываемых услуг населению, добиться массового вовлечения людей разных поколений в творческие объединения; • вовлечение молодежи в социально полезную деятельность; •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 • Освещение – </w:t>
      </w:r>
      <w:r w:rsidR="00F21D3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заменить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п</w:t>
      </w:r>
      <w:r w:rsidR="00F21D3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оселкесветильники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уличного освещения по улице </w:t>
      </w:r>
      <w:r w:rsidR="00F21D3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Сахалинская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,</w:t>
      </w:r>
      <w:r w:rsidR="00F21D3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Набережная • Произвести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ремонт обелиск</w:t>
      </w:r>
      <w:r w:rsidR="00F21D33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а погибшим в годы ВОВ 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• Активизация работы по выявлению нарушений в сфере благоустройства и жизнедеятельности поселения для передачи актов в администра</w:t>
      </w:r>
      <w:r w:rsidR="004518D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тивную комиссию.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• Изготовление СД на тротуарную дорожку в п. </w:t>
      </w:r>
      <w:r w:rsidR="004518D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Крутогоровский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ул. </w:t>
      </w:r>
      <w:r w:rsidR="004518D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Сахалинская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• </w:t>
      </w:r>
      <w:r w:rsidR="003668B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Капитальный ремонт канализации по адресу: ул.Заводская 15,обшивка фасада по адрсу: Сахалинская 52,Устройство</w:t>
      </w:r>
      <w:r w:rsidR="0060160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трех</w:t>
      </w:r>
      <w:r w:rsidR="003668BE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контейнерных площадо</w:t>
      </w:r>
      <w:r w:rsidR="0060160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 на три мусорных бака, ремонт покрытия пешеходной дорожки-</w:t>
      </w:r>
      <w:r w:rsidR="00601606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500м. шириной1,2м</w:t>
      </w:r>
      <w:r w:rsidR="007B4567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 ЗАКЛЮЧЕНИИ СВОЕГО ВЫСТУПЛЕНИЯ ХОЧУ СКАЗАТЬ, ЧТО деятельность местной власти – это практически всё, чем окружён человек, и конечно же мы пытаемся сотрудничать и решать многие вопросы все вместе. Спасибо всем Вам, жители поселения за то, что понимаете нас, помогаете в работе, принимаете участие в жизни поселения. Я хочу выр</w:t>
      </w:r>
      <w:r w:rsidR="007B4567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азить благодарность руководству ООО РК «Крутогоровский», ООО «Заря» АО «Корякэнерго»</w:t>
      </w:r>
      <w:r w:rsidR="00206F68"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Pr="00272F5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за оказанную помощь в развитии поселения. У нас хватит сил и желания довести задуманное до конца. Спасибо за внимание.</w:t>
      </w:r>
      <w:r w:rsidR="00FC15E4"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06F68" w:rsidRPr="00272F51" w:rsidRDefault="00206F68" w:rsidP="006F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55" w:rsidRPr="00272F51" w:rsidRDefault="00206F68" w:rsidP="006F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 глава Крутогоровского СП                 Овчаренко Г.Н.</w:t>
      </w:r>
    </w:p>
    <w:p w:rsidR="006E5687" w:rsidRPr="00272F51" w:rsidRDefault="006E5687">
      <w:pPr>
        <w:rPr>
          <w:rFonts w:ascii="Times New Roman" w:hAnsi="Times New Roman" w:cs="Times New Roman"/>
          <w:sz w:val="24"/>
          <w:szCs w:val="24"/>
        </w:rPr>
      </w:pPr>
    </w:p>
    <w:sectPr w:rsidR="006E5687" w:rsidRPr="00272F51" w:rsidSect="006E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553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2BF"/>
    <w:rsid w:val="000000FC"/>
    <w:rsid w:val="00017590"/>
    <w:rsid w:val="00165622"/>
    <w:rsid w:val="00192F8D"/>
    <w:rsid w:val="00203FD1"/>
    <w:rsid w:val="00206F68"/>
    <w:rsid w:val="00261BDF"/>
    <w:rsid w:val="00272F51"/>
    <w:rsid w:val="002940C3"/>
    <w:rsid w:val="002C1388"/>
    <w:rsid w:val="0033557F"/>
    <w:rsid w:val="00344118"/>
    <w:rsid w:val="003668BE"/>
    <w:rsid w:val="004518D6"/>
    <w:rsid w:val="004D51AF"/>
    <w:rsid w:val="00507ECB"/>
    <w:rsid w:val="00534263"/>
    <w:rsid w:val="005420CE"/>
    <w:rsid w:val="005D5949"/>
    <w:rsid w:val="005E3363"/>
    <w:rsid w:val="005F4725"/>
    <w:rsid w:val="005F6D4D"/>
    <w:rsid w:val="00601606"/>
    <w:rsid w:val="0064563F"/>
    <w:rsid w:val="006E5687"/>
    <w:rsid w:val="006F5355"/>
    <w:rsid w:val="00760215"/>
    <w:rsid w:val="007622BF"/>
    <w:rsid w:val="007814C4"/>
    <w:rsid w:val="00782999"/>
    <w:rsid w:val="00792BD3"/>
    <w:rsid w:val="007B4567"/>
    <w:rsid w:val="007E1B18"/>
    <w:rsid w:val="008D0C51"/>
    <w:rsid w:val="00901661"/>
    <w:rsid w:val="0091483D"/>
    <w:rsid w:val="00921864"/>
    <w:rsid w:val="00A17081"/>
    <w:rsid w:val="00A3317E"/>
    <w:rsid w:val="00AA26A6"/>
    <w:rsid w:val="00BC2773"/>
    <w:rsid w:val="00C03BB0"/>
    <w:rsid w:val="00C421C0"/>
    <w:rsid w:val="00D44A64"/>
    <w:rsid w:val="00E23CA7"/>
    <w:rsid w:val="00EB4530"/>
    <w:rsid w:val="00EF1BF0"/>
    <w:rsid w:val="00EF375D"/>
    <w:rsid w:val="00F21D33"/>
    <w:rsid w:val="00F87D0B"/>
    <w:rsid w:val="00FC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F5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72F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2017-03-28T22:30:00Z</cp:lastPrinted>
  <dcterms:created xsi:type="dcterms:W3CDTF">2017-02-15T02:08:00Z</dcterms:created>
  <dcterms:modified xsi:type="dcterms:W3CDTF">2017-03-29T23:29:00Z</dcterms:modified>
</cp:coreProperties>
</file>